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4E883" w14:textId="77777777" w:rsidR="00187ACA" w:rsidRPr="00187ACA" w:rsidRDefault="00187ACA" w:rsidP="00187ACA">
      <w:pPr>
        <w:jc w:val="center"/>
        <w:rPr>
          <w:b/>
        </w:rPr>
      </w:pPr>
      <w:r w:rsidRPr="00187ACA">
        <w:rPr>
          <w:b/>
        </w:rPr>
        <w:t xml:space="preserve">Teacher Perceptions of Memorization in String Instructional Settings: </w:t>
      </w:r>
    </w:p>
    <w:p w14:paraId="19C8D244" w14:textId="77777777" w:rsidR="00187ACA" w:rsidRPr="00187ACA" w:rsidRDefault="00187ACA" w:rsidP="00187ACA">
      <w:pPr>
        <w:jc w:val="center"/>
        <w:rPr>
          <w:b/>
        </w:rPr>
      </w:pPr>
      <w:r w:rsidRPr="00187ACA">
        <w:rPr>
          <w:b/>
        </w:rPr>
        <w:t>An Exploratory Study</w:t>
      </w:r>
    </w:p>
    <w:p w14:paraId="48374B07" w14:textId="77777777" w:rsidR="00187ACA" w:rsidRDefault="00187ACA" w:rsidP="00187ACA">
      <w:pPr>
        <w:jc w:val="center"/>
      </w:pPr>
    </w:p>
    <w:p w14:paraId="0C461A99" w14:textId="77777777" w:rsidR="00187ACA" w:rsidRDefault="00187ACA" w:rsidP="00187ACA">
      <w:pPr>
        <w:jc w:val="center"/>
        <w:outlineLvl w:val="0"/>
        <w:sectPr w:rsidR="00187ACA" w:rsidSect="0097785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87704E5" w14:textId="77777777" w:rsidR="00187ACA" w:rsidRDefault="00187ACA" w:rsidP="00187ACA">
      <w:pPr>
        <w:jc w:val="center"/>
        <w:outlineLvl w:val="0"/>
      </w:pPr>
      <w:r>
        <w:lastRenderedPageBreak/>
        <w:t>Jacob M. Dakon</w:t>
      </w:r>
      <w:r>
        <w:rPr>
          <w:vertAlign w:val="superscript"/>
        </w:rPr>
        <w:t>1</w:t>
      </w:r>
      <w:r>
        <w:t xml:space="preserve"> </w:t>
      </w:r>
    </w:p>
    <w:p w14:paraId="0903B091" w14:textId="77777777" w:rsidR="00187ACA" w:rsidRDefault="00187ACA" w:rsidP="00187ACA">
      <w:pPr>
        <w:jc w:val="center"/>
        <w:outlineLvl w:val="0"/>
      </w:pPr>
      <w:r>
        <w:t>University of Kansas</w:t>
      </w:r>
    </w:p>
    <w:p w14:paraId="6D996963" w14:textId="77777777" w:rsidR="00187ACA" w:rsidRDefault="00187ACA" w:rsidP="00187ACA">
      <w:pPr>
        <w:jc w:val="center"/>
        <w:outlineLvl w:val="0"/>
      </w:pPr>
      <w:r>
        <w:t>University of the Free State</w:t>
      </w:r>
    </w:p>
    <w:p w14:paraId="316CFC71" w14:textId="77777777" w:rsidR="00187ACA" w:rsidRPr="004A66DC" w:rsidRDefault="00187ACA" w:rsidP="00187ACA">
      <w:pPr>
        <w:jc w:val="center"/>
        <w:outlineLvl w:val="0"/>
      </w:pPr>
      <w:r>
        <w:lastRenderedPageBreak/>
        <w:t>Abbey L. Dvorak</w:t>
      </w:r>
      <w:r>
        <w:rPr>
          <w:vertAlign w:val="superscript"/>
        </w:rPr>
        <w:t xml:space="preserve">2 </w:t>
      </w:r>
    </w:p>
    <w:p w14:paraId="3D1D5018" w14:textId="77777777" w:rsidR="00187ACA" w:rsidRDefault="00187ACA" w:rsidP="00187ACA">
      <w:pPr>
        <w:jc w:val="center"/>
        <w:outlineLvl w:val="0"/>
      </w:pPr>
      <w:r>
        <w:t>University of Kansas</w:t>
      </w:r>
    </w:p>
    <w:p w14:paraId="289688C7" w14:textId="77777777" w:rsidR="00187ACA" w:rsidRDefault="00187ACA" w:rsidP="00187ACA">
      <w:pPr>
        <w:spacing w:after="200"/>
        <w:sectPr w:rsidR="00187ACA" w:rsidSect="00187AC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20A0EE3" w14:textId="77777777" w:rsidR="00187ACA" w:rsidRDefault="00187ACA" w:rsidP="00187ACA">
      <w:pPr>
        <w:spacing w:after="200"/>
      </w:pPr>
    </w:p>
    <w:p w14:paraId="46E9F713" w14:textId="01C20B59" w:rsidR="00187ACA" w:rsidRDefault="00EB56A1" w:rsidP="00187ACA">
      <w:pPr>
        <w:spacing w:after="200"/>
        <w:rPr>
          <w:noProof/>
        </w:rPr>
      </w:pPr>
      <w:r>
        <w:rPr>
          <w:noProof/>
        </w:rPr>
        <w:tab/>
        <w:t>M</w:t>
      </w:r>
      <w:r w:rsidR="00187ACA">
        <w:rPr>
          <w:noProof/>
        </w:rPr>
        <w:t>emorization</w:t>
      </w:r>
      <w:r w:rsidR="00187ACA" w:rsidRPr="006362F4">
        <w:rPr>
          <w:noProof/>
        </w:rPr>
        <w:t xml:space="preserve"> forms the foundation of all</w:t>
      </w:r>
      <w:r w:rsidR="00E955AE">
        <w:rPr>
          <w:noProof/>
        </w:rPr>
        <w:t xml:space="preserve"> human</w:t>
      </w:r>
      <w:r w:rsidR="00187ACA" w:rsidRPr="006362F4">
        <w:rPr>
          <w:noProof/>
        </w:rPr>
        <w:t xml:space="preserve"> learning (Anderson &amp;</w:t>
      </w:r>
      <w:r w:rsidR="00187ACA">
        <w:rPr>
          <w:noProof/>
        </w:rPr>
        <w:t xml:space="preserve"> Krathwohl, 2001; Bloom, 1956). Additionally, memorization increase</w:t>
      </w:r>
      <w:r>
        <w:rPr>
          <w:noProof/>
        </w:rPr>
        <w:t>s</w:t>
      </w:r>
      <w:r w:rsidR="00187ACA" w:rsidRPr="006362F4">
        <w:rPr>
          <w:noProof/>
        </w:rPr>
        <w:t xml:space="preserve"> long-term retention of information (Roediger &amp; Karpicke</w:t>
      </w:r>
      <w:r w:rsidR="00187ACA">
        <w:rPr>
          <w:noProof/>
        </w:rPr>
        <w:t>, 2006), and develop</w:t>
      </w:r>
      <w:r>
        <w:rPr>
          <w:noProof/>
        </w:rPr>
        <w:t>s</w:t>
      </w:r>
      <w:r w:rsidR="00187ACA" w:rsidRPr="006362F4">
        <w:rPr>
          <w:noProof/>
        </w:rPr>
        <w:t xml:space="preserve"> </w:t>
      </w:r>
      <w:r w:rsidR="00187ACA">
        <w:rPr>
          <w:noProof/>
        </w:rPr>
        <w:t xml:space="preserve">the </w:t>
      </w:r>
      <w:r w:rsidR="00187ACA" w:rsidRPr="006362F4">
        <w:rPr>
          <w:noProof/>
        </w:rPr>
        <w:t>mental representations needed t</w:t>
      </w:r>
      <w:r w:rsidR="00187ACA">
        <w:rPr>
          <w:noProof/>
        </w:rPr>
        <w:t>o cultivate expertise (Ericsson,</w:t>
      </w:r>
      <w:r w:rsidR="00187ACA">
        <w:rPr>
          <w:rFonts w:cs="Times New Roman"/>
        </w:rPr>
        <w:t xml:space="preserve"> </w:t>
      </w:r>
      <w:proofErr w:type="spellStart"/>
      <w:r w:rsidR="00187ACA">
        <w:rPr>
          <w:rFonts w:cs="Times New Roman"/>
        </w:rPr>
        <w:t>Krampe</w:t>
      </w:r>
      <w:proofErr w:type="spellEnd"/>
      <w:r w:rsidR="00187ACA">
        <w:rPr>
          <w:rFonts w:cs="Times New Roman"/>
        </w:rPr>
        <w:t xml:space="preserve">, </w:t>
      </w:r>
      <w:r w:rsidR="00187ACA" w:rsidRPr="003E350B">
        <w:rPr>
          <w:rFonts w:cs="Times New Roman"/>
        </w:rPr>
        <w:t xml:space="preserve">&amp; </w:t>
      </w:r>
      <w:proofErr w:type="spellStart"/>
      <w:r w:rsidR="00187ACA" w:rsidRPr="003E350B">
        <w:rPr>
          <w:rFonts w:cs="Times New Roman"/>
        </w:rPr>
        <w:t>Tesch-Romer</w:t>
      </w:r>
      <w:proofErr w:type="spellEnd"/>
      <w:r w:rsidR="00187ACA" w:rsidRPr="006362F4">
        <w:rPr>
          <w:noProof/>
        </w:rPr>
        <w:t>, 1993). From a music</w:t>
      </w:r>
      <w:r w:rsidR="00187ACA">
        <w:rPr>
          <w:noProof/>
        </w:rPr>
        <w:t>al</w:t>
      </w:r>
      <w:r w:rsidR="00187ACA" w:rsidRPr="006362F4">
        <w:rPr>
          <w:noProof/>
        </w:rPr>
        <w:t xml:space="preserve"> perspective, </w:t>
      </w:r>
      <w:r w:rsidR="00187ACA">
        <w:rPr>
          <w:noProof/>
        </w:rPr>
        <w:t xml:space="preserve">memorization </w:t>
      </w:r>
      <w:r w:rsidR="00187ACA" w:rsidRPr="006362F4">
        <w:rPr>
          <w:noProof/>
        </w:rPr>
        <w:t>alleviates performance issues</w:t>
      </w:r>
      <w:r w:rsidR="00187ACA">
        <w:rPr>
          <w:noProof/>
        </w:rPr>
        <w:t xml:space="preserve"> (e.g.,</w:t>
      </w:r>
      <w:r w:rsidR="00187ACA" w:rsidRPr="006362F4">
        <w:rPr>
          <w:noProof/>
        </w:rPr>
        <w:t xml:space="preserve"> page</w:t>
      </w:r>
      <w:r w:rsidR="00187ACA">
        <w:rPr>
          <w:noProof/>
        </w:rPr>
        <w:t xml:space="preserve"> turns)</w:t>
      </w:r>
      <w:r w:rsidR="00187ACA" w:rsidRPr="006362F4">
        <w:rPr>
          <w:noProof/>
        </w:rPr>
        <w:t>,</w:t>
      </w:r>
      <w:r w:rsidR="00187ACA">
        <w:rPr>
          <w:noProof/>
        </w:rPr>
        <w:t xml:space="preserve"> allows for greater </w:t>
      </w:r>
      <w:r w:rsidR="00187ACA" w:rsidRPr="006362F4">
        <w:rPr>
          <w:noProof/>
        </w:rPr>
        <w:t>focus on</w:t>
      </w:r>
      <w:r w:rsidR="00187ACA">
        <w:rPr>
          <w:noProof/>
        </w:rPr>
        <w:t xml:space="preserve"> non-score related performance </w:t>
      </w:r>
      <w:bookmarkStart w:id="0" w:name="_GoBack"/>
      <w:bookmarkEnd w:id="0"/>
      <w:r w:rsidR="00187ACA" w:rsidRPr="006362F4">
        <w:rPr>
          <w:noProof/>
        </w:rPr>
        <w:t>aspects</w:t>
      </w:r>
      <w:r w:rsidR="00187ACA">
        <w:rPr>
          <w:noProof/>
        </w:rPr>
        <w:t>, and increases performers' understanding of musical works</w:t>
      </w:r>
      <w:r w:rsidR="00187ACA" w:rsidRPr="006362F4">
        <w:rPr>
          <w:noProof/>
        </w:rPr>
        <w:t xml:space="preserve"> (</w:t>
      </w:r>
      <w:r w:rsidR="00187ACA">
        <w:rPr>
          <w:noProof/>
        </w:rPr>
        <w:t>Aiello &amp; Williamon, 2002;</w:t>
      </w:r>
      <w:r w:rsidR="00187ACA" w:rsidRPr="006362F4">
        <w:rPr>
          <w:noProof/>
        </w:rPr>
        <w:t xml:space="preserve"> Ginsborg, 2002). </w:t>
      </w:r>
      <w:r w:rsidR="00187ACA">
        <w:rPr>
          <w:noProof/>
        </w:rPr>
        <w:t>Memorization</w:t>
      </w:r>
      <w:r w:rsidR="00187ACA" w:rsidRPr="006362F4">
        <w:rPr>
          <w:noProof/>
        </w:rPr>
        <w:t xml:space="preserve"> may even develop sight-reading, playing-by-ear, </w:t>
      </w:r>
      <w:r w:rsidR="00187ACA">
        <w:rPr>
          <w:noProof/>
        </w:rPr>
        <w:t>and</w:t>
      </w:r>
      <w:r w:rsidR="00187ACA" w:rsidRPr="006362F4">
        <w:rPr>
          <w:noProof/>
        </w:rPr>
        <w:t xml:space="preserve"> improvis</w:t>
      </w:r>
      <w:r w:rsidR="00187ACA">
        <w:rPr>
          <w:noProof/>
        </w:rPr>
        <w:t>ation ability</w:t>
      </w:r>
      <w:r w:rsidR="00187ACA" w:rsidRPr="006362F4">
        <w:rPr>
          <w:noProof/>
        </w:rPr>
        <w:t xml:space="preserve"> (McPherson,</w:t>
      </w:r>
      <w:r w:rsidR="00187ACA">
        <w:rPr>
          <w:noProof/>
        </w:rPr>
        <w:t xml:space="preserve"> </w:t>
      </w:r>
      <w:r w:rsidR="00187ACA" w:rsidRPr="00CA6C45">
        <w:rPr>
          <w:noProof/>
        </w:rPr>
        <w:t>Bailey</w:t>
      </w:r>
      <w:r w:rsidR="00187ACA">
        <w:rPr>
          <w:noProof/>
        </w:rPr>
        <w:t>, &amp;</w:t>
      </w:r>
      <w:r w:rsidR="00187ACA" w:rsidRPr="006362F4">
        <w:rPr>
          <w:noProof/>
        </w:rPr>
        <w:t xml:space="preserve"> Si</w:t>
      </w:r>
      <w:r w:rsidR="00187ACA">
        <w:rPr>
          <w:noProof/>
        </w:rPr>
        <w:t>nclair,</w:t>
      </w:r>
      <w:r w:rsidR="00187ACA" w:rsidRPr="006362F4">
        <w:rPr>
          <w:noProof/>
        </w:rPr>
        <w:t xml:space="preserve"> 2006).</w:t>
      </w:r>
      <w:r w:rsidR="00187ACA">
        <w:rPr>
          <w:noProof/>
        </w:rPr>
        <w:t xml:space="preserve"> E</w:t>
      </w:r>
      <w:r w:rsidR="00187ACA" w:rsidRPr="00187ACA">
        <w:rPr>
          <w:noProof/>
        </w:rPr>
        <w:t>vidence</w:t>
      </w:r>
      <w:r w:rsidR="00187ACA">
        <w:rPr>
          <w:noProof/>
        </w:rPr>
        <w:t>, however,</w:t>
      </w:r>
      <w:r w:rsidR="00187ACA" w:rsidRPr="00187ACA">
        <w:rPr>
          <w:noProof/>
        </w:rPr>
        <w:t xml:space="preserve"> suggests that instrumental music teachers </w:t>
      </w:r>
      <w:r w:rsidR="00187ACA">
        <w:rPr>
          <w:noProof/>
        </w:rPr>
        <w:t>are reticent</w:t>
      </w:r>
      <w:r w:rsidR="00187ACA" w:rsidRPr="00187ACA">
        <w:rPr>
          <w:noProof/>
        </w:rPr>
        <w:t xml:space="preserve"> about encouraging their students to memorize musical patterns and contexts beyond developing basic pitch- and rhythmic-reading skills. These skills, instead, seem relegated to </w:t>
      </w:r>
      <w:r w:rsidR="00187ACA" w:rsidRPr="00187ACA">
        <w:rPr>
          <w:bCs/>
          <w:noProof/>
        </w:rPr>
        <w:t xml:space="preserve">jazz or other specialty ensembles </w:t>
      </w:r>
      <w:r w:rsidR="00187ACA" w:rsidRPr="00187ACA">
        <w:rPr>
          <w:noProof/>
        </w:rPr>
        <w:t xml:space="preserve">(McPherson, 1997; Woody &amp; Lehmann, 2010). As a result, instrumental students </w:t>
      </w:r>
      <w:r w:rsidR="00187ACA" w:rsidRPr="00187ACA">
        <w:rPr>
          <w:bCs/>
          <w:noProof/>
        </w:rPr>
        <w:t xml:space="preserve">tend to perceive memorization as difficult or virtuosic, rather than a natural mode of learning (Woody &amp; Lehmann, 2010). </w:t>
      </w:r>
      <w:r w:rsidR="00187ACA" w:rsidRPr="00187ACA">
        <w:rPr>
          <w:noProof/>
        </w:rPr>
        <w:t xml:space="preserve">This predicament brings to light a topic largely unexamined in music memory research. How do music teachers use memorization in class and studio settings? </w:t>
      </w:r>
    </w:p>
    <w:p w14:paraId="18B8813A" w14:textId="3546FA38" w:rsidR="00187ACA" w:rsidRPr="00FC2A56" w:rsidRDefault="00187ACA" w:rsidP="00187ACA">
      <w:pPr>
        <w:spacing w:after="200"/>
      </w:pPr>
      <w:r>
        <w:tab/>
      </w:r>
      <w:r w:rsidRPr="00FC2A56">
        <w:t xml:space="preserve">The purpose of this study was to acquire baseline data regarding string instructors’ perceptions on the use of memorization in string instructional environments. The researchers surveyed string instructors (N = 126) from two Midwestern states about memorization conceptualization, curricular importance, perceived benefits, personal level of ease and enjoyment, and application in string-based learning environments. Results indicated that the majority of string teachers perceive memorization </w:t>
      </w:r>
      <w:r>
        <w:t>as</w:t>
      </w:r>
      <w:r w:rsidRPr="00FC2A56">
        <w:t xml:space="preserve"> cognitive recall without the presence of visual stimuli. </w:t>
      </w:r>
      <w:r>
        <w:t>Although</w:t>
      </w:r>
      <w:r w:rsidRPr="00FC2A56">
        <w:t xml:space="preserve"> correct, this definition overlooks </w:t>
      </w:r>
      <w:r>
        <w:t xml:space="preserve">the </w:t>
      </w:r>
      <w:r w:rsidRPr="00FC2A56">
        <w:t>cognitive encoding and retrieval</w:t>
      </w:r>
      <w:r>
        <w:t xml:space="preserve"> processes associated with memorization</w:t>
      </w:r>
      <w:r w:rsidRPr="00FC2A56">
        <w:t xml:space="preserve">. String teachers </w:t>
      </w:r>
      <w:r>
        <w:t xml:space="preserve">also </w:t>
      </w:r>
      <w:r w:rsidRPr="00FC2A56">
        <w:t>reported supporting the use of aural and visual memorization strategies, but only used them rarely</w:t>
      </w:r>
      <w:r w:rsidR="00992BAD">
        <w:t xml:space="preserve"> or sometimes</w:t>
      </w:r>
      <w:r w:rsidRPr="00FC2A56">
        <w:t xml:space="preserve"> </w:t>
      </w:r>
      <w:r>
        <w:t>to teach</w:t>
      </w:r>
      <w:r w:rsidRPr="00FC2A56">
        <w:t xml:space="preserve"> </w:t>
      </w:r>
      <w:r w:rsidRPr="00FC2A56">
        <w:rPr>
          <w:rFonts w:eastAsia="Times New Roman" w:cs="Times New Roman"/>
          <w:bCs/>
          <w:color w:val="000000"/>
        </w:rPr>
        <w:t xml:space="preserve">fundamental technique, solo material, or specialty music. </w:t>
      </w:r>
      <w:r>
        <w:rPr>
          <w:rFonts w:eastAsia="Times New Roman" w:cs="Times New Roman"/>
          <w:bCs/>
          <w:color w:val="000000"/>
        </w:rPr>
        <w:t xml:space="preserve">Additionally, </w:t>
      </w:r>
      <w:r w:rsidRPr="00FC2A56">
        <w:rPr>
          <w:rFonts w:eastAsia="Times New Roman" w:cs="Times New Roman"/>
          <w:bCs/>
          <w:color w:val="000000"/>
        </w:rPr>
        <w:t xml:space="preserve">string teachers may not recognize a standardized method of teaching memorization. </w:t>
      </w:r>
      <w:r>
        <w:rPr>
          <w:rFonts w:eastAsia="Times New Roman" w:cs="Times New Roman"/>
          <w:bCs/>
          <w:color w:val="000000"/>
        </w:rPr>
        <w:t xml:space="preserve">Implications for music education are discussed. </w:t>
      </w:r>
    </w:p>
    <w:p w14:paraId="79424211" w14:textId="77777777" w:rsidR="001D40CD" w:rsidRDefault="001D40CD" w:rsidP="001D40CD">
      <w:pPr>
        <w:ind w:left="720" w:hanging="720"/>
      </w:pPr>
    </w:p>
    <w:p w14:paraId="7DED889F" w14:textId="77777777" w:rsidR="001D40CD" w:rsidRDefault="001D40CD" w:rsidP="001D40CD">
      <w:pPr>
        <w:ind w:left="720" w:hanging="720"/>
      </w:pPr>
    </w:p>
    <w:p w14:paraId="1C9F451C" w14:textId="77777777" w:rsidR="001D40CD" w:rsidRDefault="001D40CD" w:rsidP="001D40CD">
      <w:pPr>
        <w:ind w:left="720" w:hanging="720"/>
        <w:sectPr w:rsidR="001D40CD" w:rsidSect="00187AC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52AF4B4" w14:textId="77777777" w:rsidR="001D40CD" w:rsidRDefault="001D40CD" w:rsidP="001D40CD">
      <w:pPr>
        <w:ind w:left="720" w:hanging="720"/>
      </w:pPr>
      <w:r>
        <w:lastRenderedPageBreak/>
        <w:t xml:space="preserve">Works Cited: </w:t>
      </w:r>
    </w:p>
    <w:p w14:paraId="7BFA5356" w14:textId="77777777" w:rsidR="001D40CD" w:rsidRDefault="001D40CD" w:rsidP="001D40CD">
      <w:pPr>
        <w:ind w:left="720" w:hanging="720"/>
      </w:pPr>
    </w:p>
    <w:p w14:paraId="4D5C020D" w14:textId="77777777" w:rsidR="00E955AE" w:rsidRDefault="00187ACA" w:rsidP="001D40CD">
      <w:pPr>
        <w:ind w:left="720" w:hanging="720"/>
      </w:pPr>
      <w:r w:rsidRPr="00187ACA">
        <w:t xml:space="preserve">Aiello, R. &amp; Williamon, A. (2002). </w:t>
      </w:r>
      <w:r w:rsidRPr="001D40CD">
        <w:rPr>
          <w:i/>
        </w:rPr>
        <w:t>Memory</w:t>
      </w:r>
      <w:r w:rsidRPr="00187ACA">
        <w:t xml:space="preserve">. </w:t>
      </w:r>
      <w:proofErr w:type="gramStart"/>
      <w:r w:rsidRPr="00187ACA">
        <w:t xml:space="preserve">In R. </w:t>
      </w:r>
      <w:proofErr w:type="spellStart"/>
      <w:r w:rsidRPr="00187ACA">
        <w:t>Parncutt</w:t>
      </w:r>
      <w:proofErr w:type="spellEnd"/>
      <w:r w:rsidRPr="00187ACA">
        <w:t xml:space="preserve"> &amp; G. McPherson (Eds.), The science and psychology of music performance (pp. 167-182).</w:t>
      </w:r>
      <w:proofErr w:type="gramEnd"/>
      <w:r w:rsidRPr="00187ACA">
        <w:t xml:space="preserve"> New York</w:t>
      </w:r>
      <w:r w:rsidR="001D40CD">
        <w:t>, NY: Oxford University Press</w:t>
      </w:r>
      <w:r w:rsidRPr="00187ACA">
        <w:t>.</w:t>
      </w:r>
    </w:p>
    <w:p w14:paraId="5DC797A5" w14:textId="77777777" w:rsidR="00E955AE" w:rsidRDefault="00E955AE" w:rsidP="001D40CD">
      <w:pPr>
        <w:ind w:left="720" w:hanging="720"/>
      </w:pPr>
    </w:p>
    <w:p w14:paraId="4D11767F" w14:textId="77777777" w:rsidR="00E955AE" w:rsidRDefault="00E955AE" w:rsidP="001D40CD">
      <w:pPr>
        <w:ind w:left="720" w:hanging="720"/>
      </w:pPr>
      <w:r w:rsidRPr="00E955AE">
        <w:t xml:space="preserve">Anderson, L. W. </w:t>
      </w:r>
      <w:r w:rsidR="001D40CD">
        <w:t xml:space="preserve">&amp; </w:t>
      </w:r>
      <w:proofErr w:type="spellStart"/>
      <w:r w:rsidR="001D40CD">
        <w:t>Krathwohl</w:t>
      </w:r>
      <w:proofErr w:type="spellEnd"/>
      <w:r w:rsidR="001D40CD">
        <w:t>, D. R. (eds</w:t>
      </w:r>
      <w:r w:rsidRPr="00E955AE">
        <w:t>.) (2001)</w:t>
      </w:r>
      <w:r w:rsidR="001D40CD">
        <w:t>.</w:t>
      </w:r>
      <w:r w:rsidRPr="00E955AE">
        <w:t xml:space="preserve"> </w:t>
      </w:r>
      <w:proofErr w:type="gramStart"/>
      <w:r w:rsidR="001D40CD">
        <w:rPr>
          <w:i/>
        </w:rPr>
        <w:t>A taxonomy</w:t>
      </w:r>
      <w:proofErr w:type="gramEnd"/>
      <w:r w:rsidR="001D40CD">
        <w:rPr>
          <w:i/>
        </w:rPr>
        <w:t xml:space="preserve"> for learning, teaching, and assessing: A r</w:t>
      </w:r>
      <w:r w:rsidRPr="001D40CD">
        <w:rPr>
          <w:i/>
        </w:rPr>
        <w:t>evision of Bloom’s Taxonomy of Educational Objectives.</w:t>
      </w:r>
      <w:r w:rsidR="001D40CD">
        <w:t xml:space="preserve"> </w:t>
      </w:r>
      <w:r w:rsidRPr="00E955AE">
        <w:t>Bost</w:t>
      </w:r>
      <w:r w:rsidR="001D40CD">
        <w:t>on, MA: Pearson.</w:t>
      </w:r>
    </w:p>
    <w:p w14:paraId="31FBD302" w14:textId="77777777" w:rsidR="001D40CD" w:rsidRDefault="001D40CD" w:rsidP="001D40CD">
      <w:pPr>
        <w:ind w:left="720" w:hanging="720"/>
      </w:pPr>
    </w:p>
    <w:p w14:paraId="24DACAA5" w14:textId="77777777" w:rsidR="001D40CD" w:rsidRDefault="001D40CD" w:rsidP="001D40CD">
      <w:pPr>
        <w:ind w:left="720" w:hanging="720"/>
      </w:pPr>
      <w:proofErr w:type="gramStart"/>
      <w:r>
        <w:t>Bloom, B. S. (ed.) (1987).</w:t>
      </w:r>
      <w:proofErr w:type="gramEnd"/>
      <w:r>
        <w:t xml:space="preserve"> </w:t>
      </w:r>
      <w:r>
        <w:rPr>
          <w:i/>
        </w:rPr>
        <w:t xml:space="preserve">Taxonomy of educational objectives: Book 1-cognitive domain. </w:t>
      </w:r>
      <w:r>
        <w:t xml:space="preserve">New York, NY: Longman. </w:t>
      </w:r>
    </w:p>
    <w:p w14:paraId="789CEA63" w14:textId="77777777" w:rsidR="00E955AE" w:rsidRDefault="00E955AE" w:rsidP="001D40CD">
      <w:pPr>
        <w:ind w:left="720" w:hanging="720"/>
      </w:pPr>
    </w:p>
    <w:p w14:paraId="36D8DEFD" w14:textId="77777777" w:rsidR="00E955AE" w:rsidRDefault="00E955AE" w:rsidP="001D40CD">
      <w:pPr>
        <w:ind w:left="720" w:hanging="720"/>
      </w:pPr>
      <w:r w:rsidRPr="00187ACA">
        <w:t xml:space="preserve">Ericsson, K. A., </w:t>
      </w:r>
      <w:proofErr w:type="spellStart"/>
      <w:r w:rsidRPr="00187ACA">
        <w:t>Krampe</w:t>
      </w:r>
      <w:proofErr w:type="spellEnd"/>
      <w:r w:rsidRPr="00187ACA">
        <w:t xml:space="preserve">, R. T., &amp; </w:t>
      </w:r>
      <w:proofErr w:type="spellStart"/>
      <w:r w:rsidRPr="00187ACA">
        <w:t>Tesch-Romer</w:t>
      </w:r>
      <w:proofErr w:type="spellEnd"/>
      <w:r w:rsidRPr="00187ACA">
        <w:t xml:space="preserve">, C. (1993). </w:t>
      </w:r>
      <w:proofErr w:type="gramStart"/>
      <w:r w:rsidRPr="00187ACA">
        <w:t>The role of deliberate practice in the acquisition of expert performance.</w:t>
      </w:r>
      <w:proofErr w:type="gramEnd"/>
      <w:r w:rsidRPr="00187ACA">
        <w:t xml:space="preserve"> </w:t>
      </w:r>
      <w:proofErr w:type="gramStart"/>
      <w:r w:rsidRPr="001D40CD">
        <w:rPr>
          <w:i/>
        </w:rPr>
        <w:t>Psychological Review, 100</w:t>
      </w:r>
      <w:r w:rsidRPr="00187ACA">
        <w:t>(3), 363-406.</w:t>
      </w:r>
      <w:proofErr w:type="gramEnd"/>
    </w:p>
    <w:p w14:paraId="38EF4FAD" w14:textId="77777777" w:rsidR="00E955AE" w:rsidRDefault="00E955AE" w:rsidP="001D40CD">
      <w:pPr>
        <w:ind w:left="720" w:hanging="720"/>
      </w:pPr>
    </w:p>
    <w:p w14:paraId="4FD0696D" w14:textId="77777777" w:rsidR="00187ACA" w:rsidRDefault="00187ACA" w:rsidP="001D40CD">
      <w:pPr>
        <w:ind w:left="720" w:hanging="720"/>
      </w:pPr>
      <w:r w:rsidRPr="00187ACA">
        <w:t xml:space="preserve">Ginsborg, J. (2004). </w:t>
      </w:r>
      <w:proofErr w:type="gramStart"/>
      <w:r w:rsidRPr="00187ACA">
        <w:t>Strategies for memorizing music.</w:t>
      </w:r>
      <w:proofErr w:type="gramEnd"/>
      <w:r w:rsidRPr="00187ACA">
        <w:t xml:space="preserve"> In A. Williamon (Ed.), </w:t>
      </w:r>
      <w:r w:rsidRPr="001D40CD">
        <w:rPr>
          <w:i/>
        </w:rPr>
        <w:t>Musical excellence: Strategies and techniques to enhance performance</w:t>
      </w:r>
      <w:r w:rsidRPr="00187ACA">
        <w:t xml:space="preserve"> (pp. 123-141). New York, NY: Oxford University Press.</w:t>
      </w:r>
    </w:p>
    <w:p w14:paraId="096962AD" w14:textId="77777777" w:rsidR="00187ACA" w:rsidRDefault="00187ACA" w:rsidP="001D40CD">
      <w:pPr>
        <w:ind w:left="720" w:hanging="720"/>
      </w:pPr>
    </w:p>
    <w:p w14:paraId="2AFB45CA" w14:textId="77777777" w:rsidR="00187ACA" w:rsidRPr="00187ACA" w:rsidRDefault="00187ACA" w:rsidP="001D40CD">
      <w:pPr>
        <w:ind w:left="720" w:hanging="720"/>
        <w:rPr>
          <w:rFonts w:cs="Times New Roman"/>
        </w:rPr>
      </w:pPr>
      <w:r w:rsidRPr="00187ACA">
        <w:rPr>
          <w:rFonts w:cs="Times New Roman"/>
        </w:rPr>
        <w:t xml:space="preserve">McPherson, G. E. (1997). </w:t>
      </w:r>
      <w:proofErr w:type="gramStart"/>
      <w:r w:rsidRPr="00187ACA">
        <w:rPr>
          <w:rFonts w:cs="Times New Roman"/>
        </w:rPr>
        <w:t>Cognitive strategies and skills acquisition in musical performance.</w:t>
      </w:r>
      <w:proofErr w:type="gramEnd"/>
      <w:r w:rsidRPr="00187ACA">
        <w:rPr>
          <w:rFonts w:cs="Times New Roman"/>
        </w:rPr>
        <w:t xml:space="preserve"> </w:t>
      </w:r>
      <w:proofErr w:type="gramStart"/>
      <w:r w:rsidRPr="00187ACA">
        <w:rPr>
          <w:rFonts w:cs="Times New Roman"/>
          <w:i/>
        </w:rPr>
        <w:t>Bulletin of the Council for Research in Music Education, 133</w:t>
      </w:r>
      <w:r>
        <w:rPr>
          <w:rFonts w:cs="Times New Roman"/>
        </w:rPr>
        <w:t>, 64-</w:t>
      </w:r>
      <w:r w:rsidRPr="00187ACA">
        <w:rPr>
          <w:rFonts w:cs="Times New Roman"/>
        </w:rPr>
        <w:t>71.</w:t>
      </w:r>
      <w:proofErr w:type="gramEnd"/>
    </w:p>
    <w:p w14:paraId="04B1200B" w14:textId="77777777" w:rsidR="00187ACA" w:rsidRDefault="00187ACA" w:rsidP="001D40CD">
      <w:pPr>
        <w:ind w:left="720" w:hanging="720"/>
        <w:rPr>
          <w:rFonts w:cs="Times New Roman"/>
        </w:rPr>
      </w:pPr>
    </w:p>
    <w:p w14:paraId="1A26E851" w14:textId="77777777" w:rsidR="00187ACA" w:rsidRDefault="00187ACA" w:rsidP="001D40CD">
      <w:pPr>
        <w:ind w:left="720" w:hanging="720"/>
        <w:rPr>
          <w:rFonts w:cs="Times New Roman"/>
        </w:rPr>
      </w:pPr>
      <w:proofErr w:type="gramStart"/>
      <w:r>
        <w:rPr>
          <w:rFonts w:cs="Times New Roman"/>
        </w:rPr>
        <w:t>McPherson, G. E., Bailey, M., &amp; Sinclair, K. E. (1997).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Path analysis of a theoretical model to describe the relationship among five types of musical performance.</w:t>
      </w:r>
      <w:proofErr w:type="gramEnd"/>
      <w:r>
        <w:rPr>
          <w:rFonts w:cs="Times New Roman"/>
        </w:rPr>
        <w:t xml:space="preserve"> </w:t>
      </w:r>
      <w:proofErr w:type="gramStart"/>
      <w:r w:rsidRPr="006957BB">
        <w:rPr>
          <w:rFonts w:cs="Times New Roman"/>
          <w:i/>
        </w:rPr>
        <w:t>Journal of Research in Music Education, 45</w:t>
      </w:r>
      <w:r>
        <w:rPr>
          <w:rFonts w:cs="Times New Roman"/>
        </w:rPr>
        <w:t>(1), 103-129.</w:t>
      </w:r>
      <w:proofErr w:type="gramEnd"/>
    </w:p>
    <w:p w14:paraId="61AB263E" w14:textId="77777777" w:rsidR="001D40CD" w:rsidRDefault="001D40CD" w:rsidP="001D40CD">
      <w:pPr>
        <w:ind w:left="720" w:hanging="720"/>
        <w:rPr>
          <w:rFonts w:cs="Times New Roman"/>
        </w:rPr>
      </w:pPr>
    </w:p>
    <w:p w14:paraId="7DE708EA" w14:textId="77777777" w:rsidR="001D40CD" w:rsidRPr="001D40CD" w:rsidRDefault="001D40CD" w:rsidP="001D40CD">
      <w:pPr>
        <w:ind w:left="720" w:hanging="720"/>
        <w:rPr>
          <w:rFonts w:cs="Times New Roman"/>
        </w:rPr>
      </w:pPr>
      <w:proofErr w:type="spellStart"/>
      <w:r w:rsidRPr="001D40CD">
        <w:rPr>
          <w:rFonts w:cs="Times New Roman"/>
        </w:rPr>
        <w:t>Roediger</w:t>
      </w:r>
      <w:proofErr w:type="spellEnd"/>
      <w:r w:rsidRPr="001D40CD">
        <w:rPr>
          <w:rFonts w:cs="Times New Roman"/>
        </w:rPr>
        <w:t xml:space="preserve">, H. L., &amp; </w:t>
      </w:r>
      <w:proofErr w:type="spellStart"/>
      <w:r w:rsidRPr="001D40CD">
        <w:rPr>
          <w:rFonts w:cs="Times New Roman"/>
        </w:rPr>
        <w:t>Karpicke</w:t>
      </w:r>
      <w:proofErr w:type="spellEnd"/>
      <w:r w:rsidRPr="001D40CD">
        <w:rPr>
          <w:rFonts w:cs="Times New Roman"/>
        </w:rPr>
        <w:t xml:space="preserve">, J. D. (2006). Test-enhanced learning: Taking memory tests improves long-term retention. </w:t>
      </w:r>
      <w:r w:rsidRPr="001D40CD">
        <w:rPr>
          <w:rFonts w:cs="Times New Roman"/>
          <w:i/>
          <w:iCs/>
        </w:rPr>
        <w:t>Psychological Science</w:t>
      </w:r>
      <w:r w:rsidRPr="001D40CD">
        <w:rPr>
          <w:rFonts w:cs="Times New Roman"/>
        </w:rPr>
        <w:t xml:space="preserve">, </w:t>
      </w:r>
      <w:r w:rsidRPr="001D40CD">
        <w:rPr>
          <w:rFonts w:cs="Times New Roman"/>
          <w:i/>
          <w:iCs/>
        </w:rPr>
        <w:t>17</w:t>
      </w:r>
      <w:r w:rsidRPr="001D40CD">
        <w:rPr>
          <w:rFonts w:cs="Times New Roman"/>
        </w:rPr>
        <w:t>(3), 249–255.</w:t>
      </w:r>
    </w:p>
    <w:p w14:paraId="234DE488" w14:textId="77777777" w:rsidR="00187ACA" w:rsidRDefault="00187ACA" w:rsidP="001D40CD">
      <w:pPr>
        <w:ind w:left="720" w:hanging="720"/>
        <w:rPr>
          <w:rFonts w:cs="Times New Roman"/>
        </w:rPr>
      </w:pPr>
    </w:p>
    <w:p w14:paraId="7E45020E" w14:textId="77777777" w:rsidR="00187ACA" w:rsidRDefault="00187ACA" w:rsidP="001D40CD">
      <w:pPr>
        <w:ind w:left="720" w:hanging="720"/>
      </w:pPr>
      <w:proofErr w:type="gramStart"/>
      <w:r>
        <w:rPr>
          <w:rFonts w:cs="Times New Roman"/>
        </w:rPr>
        <w:t>Woody, R. H., &amp; Lehmann, A. C. (2010).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Student musicians’ ear-playing ability as a function of vernacular music experiences.</w:t>
      </w:r>
      <w:proofErr w:type="gramEnd"/>
      <w:r>
        <w:rPr>
          <w:rFonts w:cs="Times New Roman"/>
        </w:rPr>
        <w:t xml:space="preserve"> </w:t>
      </w:r>
      <w:proofErr w:type="gramStart"/>
      <w:r w:rsidRPr="006957BB">
        <w:rPr>
          <w:rFonts w:cs="Times New Roman"/>
          <w:i/>
        </w:rPr>
        <w:t>Journal of Research in Music Education</w:t>
      </w:r>
      <w:r>
        <w:rPr>
          <w:rFonts w:cs="Times New Roman"/>
        </w:rPr>
        <w:t xml:space="preserve">, </w:t>
      </w:r>
      <w:r w:rsidRPr="006957BB">
        <w:rPr>
          <w:rFonts w:cs="Times New Roman"/>
          <w:i/>
        </w:rPr>
        <w:t>58</w:t>
      </w:r>
      <w:r>
        <w:rPr>
          <w:rFonts w:cs="Times New Roman"/>
        </w:rPr>
        <w:t>(2), 101-115.</w:t>
      </w:r>
      <w:proofErr w:type="gramEnd"/>
    </w:p>
    <w:sectPr w:rsidR="00187ACA" w:rsidSect="001D40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CA"/>
    <w:rsid w:val="00162BAF"/>
    <w:rsid w:val="00187ACA"/>
    <w:rsid w:val="001D40CD"/>
    <w:rsid w:val="003E5494"/>
    <w:rsid w:val="0097785A"/>
    <w:rsid w:val="00992BAD"/>
    <w:rsid w:val="00E955AE"/>
    <w:rsid w:val="00EB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73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618</Words>
  <Characters>3529</Characters>
  <Application>Microsoft Macintosh Word</Application>
  <DocSecurity>0</DocSecurity>
  <Lines>29</Lines>
  <Paragraphs>8</Paragraphs>
  <ScaleCrop>false</ScaleCrop>
  <Company>University of Kansas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fac-staff-gta-student</dc:creator>
  <cp:keywords/>
  <dc:description/>
  <cp:lastModifiedBy>Music fac-staff-gta-student</cp:lastModifiedBy>
  <cp:revision>4</cp:revision>
  <cp:lastPrinted>2015-03-10T16:42:00Z</cp:lastPrinted>
  <dcterms:created xsi:type="dcterms:W3CDTF">2015-03-09T13:35:00Z</dcterms:created>
  <dcterms:modified xsi:type="dcterms:W3CDTF">2015-03-10T17:15:00Z</dcterms:modified>
</cp:coreProperties>
</file>